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A606" w14:textId="77777777" w:rsidR="00D33CE8" w:rsidRPr="00D33CE8" w:rsidRDefault="00D33CE8">
      <w:pPr>
        <w:rPr>
          <w:rFonts w:ascii="Times New Roman" w:hAnsi="Times New Roman" w:cs="Times New Roman"/>
          <w:noProof/>
        </w:rPr>
      </w:pPr>
    </w:p>
    <w:p w14:paraId="38521EF8" w14:textId="22C233BA" w:rsidR="00D33CE8" w:rsidRDefault="00D33CE8" w:rsidP="00807599">
      <w:pPr>
        <w:jc w:val="center"/>
        <w:rPr>
          <w:rFonts w:ascii="Times New Roman" w:hAnsi="Times New Roman" w:cs="Times New Roman"/>
          <w:noProof/>
        </w:rPr>
      </w:pPr>
      <w:r w:rsidRPr="00D33CE8">
        <w:rPr>
          <w:rFonts w:ascii="Times New Roman" w:hAnsi="Times New Roman" w:cs="Times New Roman"/>
          <w:noProof/>
        </w:rPr>
        <w:t xml:space="preserve">HEALTH INSURANCE PORTABILITY </w:t>
      </w:r>
      <w:r w:rsidRPr="00D33CE8">
        <w:rPr>
          <w:rFonts w:ascii="Times New Roman" w:hAnsi="Times New Roman" w:cs="Times New Roman"/>
          <w:noProof/>
        </w:rPr>
        <w:br/>
        <w:t>AND ACCOUNTABILITY ACT (HIPPA)</w:t>
      </w:r>
    </w:p>
    <w:p w14:paraId="47FB5E68" w14:textId="77777777" w:rsidR="00D33CE8" w:rsidRDefault="00D33CE8" w:rsidP="00D33CE8">
      <w:pPr>
        <w:jc w:val="center"/>
        <w:rPr>
          <w:rFonts w:ascii="Times New Roman" w:hAnsi="Times New Roman" w:cs="Times New Roman"/>
          <w:noProof/>
        </w:rPr>
      </w:pPr>
    </w:p>
    <w:p w14:paraId="6A7606BF" w14:textId="0DE03326" w:rsidR="00D33CE8" w:rsidRDefault="00D33CE8" w:rsidP="00D33CE8">
      <w:pPr>
        <w:rPr>
          <w:rFonts w:ascii="Times New Roman" w:hAnsi="Times New Roman" w:cs="Times New Roman"/>
          <w:noProof/>
        </w:rPr>
      </w:pPr>
      <w:r>
        <w:rPr>
          <w:rFonts w:ascii="Times New Roman" w:hAnsi="Times New Roman" w:cs="Times New Roman"/>
          <w:noProof/>
          <w:u w:val="single"/>
        </w:rPr>
        <w:t>DESCRIPTION:</w:t>
      </w:r>
      <w:r>
        <w:rPr>
          <w:rFonts w:ascii="Times New Roman" w:hAnsi="Times New Roman" w:cs="Times New Roman"/>
          <w:noProof/>
        </w:rPr>
        <w:t xml:space="preserve"> The Health Insurance Portability and Accountability Act (HIP</w:t>
      </w:r>
      <w:r w:rsidR="00A356F0">
        <w:rPr>
          <w:rFonts w:ascii="Times New Roman" w:hAnsi="Times New Roman" w:cs="Times New Roman"/>
          <w:noProof/>
        </w:rPr>
        <w:t>A</w:t>
      </w:r>
      <w:r>
        <w:rPr>
          <w:rFonts w:ascii="Times New Roman" w:hAnsi="Times New Roman" w:cs="Times New Roman"/>
          <w:noProof/>
        </w:rPr>
        <w:t>A) of 1996, Public Law 104-191, amends the Internal revenue Service Code of 1986. Title II includes a section, Administrative Simplification, requiring improved efficeincy in healthcare delivery by standaridizing electronic date interchange and protection of confidentiality and security of health data through setting and enforicing standards. More specifically, HIPPA calls for standadization of electronic client health, adminstrative and financial data, unique health identifiers for individuals, employers, health plans and health care providers, and security standards protecting the confidentiality and integrity of “individually identifiable health information,” past, present or future.</w:t>
      </w:r>
    </w:p>
    <w:p w14:paraId="51067075" w14:textId="77777777" w:rsidR="00D33CE8" w:rsidRDefault="00D33CE8" w:rsidP="00D33CE8">
      <w:pPr>
        <w:rPr>
          <w:rFonts w:ascii="Times New Roman" w:hAnsi="Times New Roman" w:cs="Times New Roman"/>
          <w:noProof/>
        </w:rPr>
      </w:pPr>
    </w:p>
    <w:p w14:paraId="5D857D2D" w14:textId="75DD092F" w:rsidR="00D33CE8" w:rsidRDefault="00D33CE8" w:rsidP="00D33CE8">
      <w:pPr>
        <w:pStyle w:val="ListParagraph"/>
        <w:numPr>
          <w:ilvl w:val="0"/>
          <w:numId w:val="1"/>
        </w:numPr>
        <w:rPr>
          <w:rFonts w:ascii="Times New Roman" w:hAnsi="Times New Roman" w:cs="Times New Roman"/>
          <w:noProof/>
        </w:rPr>
      </w:pPr>
      <w:r>
        <w:rPr>
          <w:rFonts w:ascii="Times New Roman" w:hAnsi="Times New Roman" w:cs="Times New Roman"/>
          <w:noProof/>
          <w:u w:val="single"/>
        </w:rPr>
        <w:t>ADMINISTRATIVE SIMPLIFICATION.</w:t>
      </w:r>
      <w:r>
        <w:rPr>
          <w:rFonts w:ascii="Times New Roman" w:hAnsi="Times New Roman" w:cs="Times New Roman"/>
          <w:noProof/>
        </w:rPr>
        <w:t xml:space="preserve"> The four parts of the Administrive Simplification are:</w:t>
      </w:r>
    </w:p>
    <w:p w14:paraId="597804E4" w14:textId="77777777" w:rsidR="00807599" w:rsidRPr="00807599" w:rsidRDefault="00807599" w:rsidP="00807599">
      <w:pPr>
        <w:pStyle w:val="ListParagraph"/>
        <w:rPr>
          <w:rFonts w:ascii="Times New Roman" w:hAnsi="Times New Roman" w:cs="Times New Roman"/>
          <w:noProof/>
        </w:rPr>
      </w:pPr>
    </w:p>
    <w:p w14:paraId="4BDDDABA" w14:textId="32B07CFE" w:rsidR="00807599" w:rsidRPr="00807599" w:rsidRDefault="00D33CE8" w:rsidP="00807599">
      <w:pPr>
        <w:pStyle w:val="ListParagraph"/>
        <w:numPr>
          <w:ilvl w:val="0"/>
          <w:numId w:val="7"/>
        </w:numPr>
        <w:rPr>
          <w:rFonts w:ascii="Times New Roman" w:hAnsi="Times New Roman" w:cs="Times New Roman"/>
          <w:noProof/>
        </w:rPr>
      </w:pPr>
      <w:r>
        <w:rPr>
          <w:rFonts w:ascii="Times New Roman" w:hAnsi="Times New Roman" w:cs="Times New Roman"/>
          <w:noProof/>
          <w:u w:val="single"/>
        </w:rPr>
        <w:t>Electronic Health Transactions Standards.</w:t>
      </w:r>
      <w:r>
        <w:rPr>
          <w:rFonts w:ascii="Times New Roman" w:hAnsi="Times New Roman" w:cs="Times New Roman"/>
          <w:noProof/>
        </w:rPr>
        <w:t xml:space="preserve"> The term Electronic Health Transactions Standards includes health claims, health plan eligibility, enrollment and disenrollment, payments for care and health plan premiums, claim status, first injury reports, coordination of benefits, and related transactions. Implementation of a national standard will force the use of one format, therby </w:t>
      </w:r>
      <w:r w:rsidR="00CE20A1">
        <w:rPr>
          <w:rFonts w:ascii="Times New Roman" w:hAnsi="Times New Roman" w:cs="Times New Roman"/>
          <w:noProof/>
        </w:rPr>
        <w:t xml:space="preserve">“simplifying” and improving transaction efficiency nationwide. Health organizations also must adopt standard code sets to be used in all health transactions. </w:t>
      </w:r>
      <w:r w:rsidR="00807599">
        <w:rPr>
          <w:rFonts w:ascii="Times New Roman" w:hAnsi="Times New Roman" w:cs="Times New Roman"/>
          <w:noProof/>
        </w:rPr>
        <w:br/>
      </w:r>
    </w:p>
    <w:p w14:paraId="73A2BD54" w14:textId="18DDD39B" w:rsidR="00CE20A1" w:rsidRPr="00A356F0" w:rsidRDefault="00CE20A1" w:rsidP="00A356F0">
      <w:pPr>
        <w:pStyle w:val="ListParagraph"/>
        <w:numPr>
          <w:ilvl w:val="0"/>
          <w:numId w:val="7"/>
        </w:numPr>
        <w:rPr>
          <w:rFonts w:ascii="Times New Roman" w:hAnsi="Times New Roman" w:cs="Times New Roman"/>
          <w:noProof/>
        </w:rPr>
      </w:pPr>
      <w:r w:rsidRPr="00A356F0">
        <w:rPr>
          <w:rFonts w:ascii="Times New Roman" w:hAnsi="Times New Roman" w:cs="Times New Roman"/>
          <w:noProof/>
          <w:u w:val="single"/>
        </w:rPr>
        <w:t>Unique Identifiers.</w:t>
      </w:r>
      <w:r w:rsidRPr="00A356F0">
        <w:rPr>
          <w:rFonts w:ascii="Times New Roman" w:hAnsi="Times New Roman" w:cs="Times New Roman"/>
          <w:noProof/>
        </w:rPr>
        <w:t xml:space="preserve"> The current system allows multiple ID numbers when dealing with other agencies. This section will standariz</w:t>
      </w:r>
      <w:r w:rsidR="00154ECF" w:rsidRPr="00A356F0">
        <w:rPr>
          <w:rFonts w:ascii="Times New Roman" w:hAnsi="Times New Roman" w:cs="Times New Roman"/>
          <w:noProof/>
        </w:rPr>
        <w:t xml:space="preserve">e those identifiers and reduce the confusion. </w:t>
      </w:r>
    </w:p>
    <w:p w14:paraId="1E3E62EF" w14:textId="77777777" w:rsidR="00154ECF" w:rsidRPr="00154ECF" w:rsidRDefault="00154ECF" w:rsidP="00154ECF">
      <w:pPr>
        <w:pStyle w:val="ListParagraph"/>
        <w:rPr>
          <w:rFonts w:ascii="Times New Roman" w:hAnsi="Times New Roman" w:cs="Times New Roman"/>
          <w:noProof/>
        </w:rPr>
      </w:pPr>
    </w:p>
    <w:p w14:paraId="1EFE5638" w14:textId="74301C00" w:rsidR="00154ECF" w:rsidRDefault="00154ECF" w:rsidP="00A356F0">
      <w:pPr>
        <w:pStyle w:val="ListParagraph"/>
        <w:numPr>
          <w:ilvl w:val="0"/>
          <w:numId w:val="7"/>
        </w:numPr>
        <w:rPr>
          <w:rFonts w:ascii="Times New Roman" w:hAnsi="Times New Roman" w:cs="Times New Roman"/>
          <w:noProof/>
        </w:rPr>
      </w:pPr>
      <w:r>
        <w:rPr>
          <w:rFonts w:ascii="Times New Roman" w:hAnsi="Times New Roman" w:cs="Times New Roman"/>
          <w:noProof/>
          <w:u w:val="single"/>
        </w:rPr>
        <w:t>Security and Electronic Signature Standards.</w:t>
      </w:r>
      <w:r>
        <w:rPr>
          <w:rFonts w:ascii="Times New Roman" w:hAnsi="Times New Roman" w:cs="Times New Roman"/>
          <w:noProof/>
        </w:rPr>
        <w:t xml:space="preserve"> The Security Standard provides a uniform level of protection of all health information housed and transmitted electronically, and that pertains to an individual. The Security Standard mandates safeguards for physical storage and maintenance, transmission, and access to indiviual health information.</w:t>
      </w:r>
    </w:p>
    <w:p w14:paraId="79567DFE" w14:textId="77777777" w:rsidR="00154ECF" w:rsidRPr="00154ECF" w:rsidRDefault="00154ECF" w:rsidP="00154ECF">
      <w:pPr>
        <w:pStyle w:val="ListParagraph"/>
        <w:rPr>
          <w:rFonts w:ascii="Times New Roman" w:hAnsi="Times New Roman" w:cs="Times New Roman"/>
          <w:noProof/>
        </w:rPr>
      </w:pPr>
    </w:p>
    <w:p w14:paraId="5D88C8A4" w14:textId="72C8D74D" w:rsidR="00154ECF" w:rsidRDefault="00154ECF" w:rsidP="00807599">
      <w:pPr>
        <w:ind w:left="1080"/>
        <w:rPr>
          <w:rFonts w:ascii="Times New Roman" w:hAnsi="Times New Roman" w:cs="Times New Roman"/>
        </w:rPr>
      </w:pPr>
      <w:r>
        <w:rPr>
          <w:rFonts w:ascii="Times New Roman" w:hAnsi="Times New Roman" w:cs="Times New Roman"/>
        </w:rPr>
        <w:t>Landrum Chiropractic has:</w:t>
      </w:r>
    </w:p>
    <w:p w14:paraId="2E8266E9" w14:textId="449CA3C3" w:rsidR="00154ECF" w:rsidRDefault="00154ECF" w:rsidP="00154ECF">
      <w:pPr>
        <w:pStyle w:val="ListParagraph"/>
        <w:numPr>
          <w:ilvl w:val="0"/>
          <w:numId w:val="5"/>
        </w:numPr>
        <w:rPr>
          <w:rFonts w:ascii="Times New Roman" w:hAnsi="Times New Roman" w:cs="Times New Roman"/>
          <w:noProof/>
        </w:rPr>
      </w:pPr>
      <w:r>
        <w:rPr>
          <w:rFonts w:ascii="Times New Roman" w:hAnsi="Times New Roman" w:cs="Times New Roman"/>
          <w:noProof/>
        </w:rPr>
        <w:t xml:space="preserve">A written security policy that stipulates which individuals have access to electronic signatures and password authorization. </w:t>
      </w:r>
    </w:p>
    <w:p w14:paraId="576BC0FC" w14:textId="4197CBD1" w:rsidR="00154ECF" w:rsidRDefault="00154ECF" w:rsidP="00154ECF">
      <w:pPr>
        <w:pStyle w:val="ListParagraph"/>
        <w:numPr>
          <w:ilvl w:val="0"/>
          <w:numId w:val="5"/>
        </w:numPr>
        <w:rPr>
          <w:rFonts w:ascii="Times New Roman" w:hAnsi="Times New Roman" w:cs="Times New Roman"/>
          <w:noProof/>
        </w:rPr>
      </w:pPr>
      <w:r>
        <w:rPr>
          <w:rFonts w:ascii="Times New Roman" w:hAnsi="Times New Roman" w:cs="Times New Roman"/>
          <w:noProof/>
        </w:rPr>
        <w:t xml:space="preserve">Ensured that electronic signatures are created, transmitted and stored securely. </w:t>
      </w:r>
    </w:p>
    <w:p w14:paraId="0F9987E3" w14:textId="6D91A9BC" w:rsidR="00154ECF" w:rsidRDefault="00154ECF" w:rsidP="00154ECF">
      <w:pPr>
        <w:pStyle w:val="ListParagraph"/>
        <w:numPr>
          <w:ilvl w:val="0"/>
          <w:numId w:val="5"/>
        </w:numPr>
        <w:rPr>
          <w:rFonts w:ascii="Times New Roman" w:hAnsi="Times New Roman" w:cs="Times New Roman"/>
          <w:noProof/>
        </w:rPr>
      </w:pPr>
      <w:r>
        <w:rPr>
          <w:rFonts w:ascii="Times New Roman" w:hAnsi="Times New Roman" w:cs="Times New Roman"/>
          <w:noProof/>
        </w:rPr>
        <w:t xml:space="preserve">Developed a consent form, which is completed and executed by each </w:t>
      </w:r>
      <w:r w:rsidR="00A356F0">
        <w:rPr>
          <w:rFonts w:ascii="Times New Roman" w:hAnsi="Times New Roman" w:cs="Times New Roman"/>
          <w:noProof/>
        </w:rPr>
        <w:t xml:space="preserve">individual utilizing an electronic signature, attests to the signature’s authenticity and includes a statement that each individual has been notified of the responsibility in allowing the use of the electronic signature. </w:t>
      </w:r>
      <w:r>
        <w:rPr>
          <w:rFonts w:ascii="Times New Roman" w:hAnsi="Times New Roman" w:cs="Times New Roman"/>
          <w:noProof/>
        </w:rPr>
        <w:t xml:space="preserve"> </w:t>
      </w:r>
    </w:p>
    <w:p w14:paraId="623B4204" w14:textId="31598115" w:rsidR="00A356F0" w:rsidRDefault="00A356F0" w:rsidP="00A356F0">
      <w:pPr>
        <w:rPr>
          <w:rFonts w:ascii="Times New Roman" w:hAnsi="Times New Roman" w:cs="Times New Roman"/>
          <w:noProof/>
        </w:rPr>
      </w:pPr>
    </w:p>
    <w:p w14:paraId="0386CBCC" w14:textId="790A089C" w:rsidR="00A356F0" w:rsidRDefault="00A356F0" w:rsidP="00A356F0">
      <w:pPr>
        <w:pStyle w:val="ListParagraph"/>
        <w:numPr>
          <w:ilvl w:val="0"/>
          <w:numId w:val="7"/>
        </w:numPr>
        <w:rPr>
          <w:rFonts w:ascii="Times New Roman" w:hAnsi="Times New Roman" w:cs="Times New Roman"/>
          <w:noProof/>
        </w:rPr>
      </w:pPr>
      <w:r>
        <w:rPr>
          <w:rFonts w:ascii="Times New Roman" w:hAnsi="Times New Roman" w:cs="Times New Roman"/>
          <w:noProof/>
          <w:u w:val="single"/>
        </w:rPr>
        <w:t>Privacy and Confidentiality Standards.</w:t>
      </w:r>
      <w:r>
        <w:rPr>
          <w:rFonts w:ascii="Times New Roman" w:hAnsi="Times New Roman" w:cs="Times New Roman"/>
          <w:noProof/>
        </w:rPr>
        <w:t xml:space="preserve"> Privacy defines who has the right to access personally identifiable health information in all forms. </w:t>
      </w:r>
    </w:p>
    <w:p w14:paraId="4ACB70C0" w14:textId="77777777" w:rsidR="001170F9" w:rsidRPr="001170F9" w:rsidRDefault="001170F9" w:rsidP="001170F9">
      <w:pPr>
        <w:rPr>
          <w:rFonts w:ascii="Times New Roman" w:hAnsi="Times New Roman" w:cs="Times New Roman"/>
          <w:noProof/>
        </w:rPr>
      </w:pPr>
    </w:p>
    <w:p w14:paraId="7618088D" w14:textId="5D83D3CA" w:rsidR="00A356F0" w:rsidRPr="001170F9" w:rsidRDefault="00A356F0" w:rsidP="001170F9">
      <w:pPr>
        <w:pStyle w:val="ListParagraph"/>
        <w:numPr>
          <w:ilvl w:val="0"/>
          <w:numId w:val="7"/>
        </w:numPr>
        <w:rPr>
          <w:rFonts w:ascii="Times New Roman" w:hAnsi="Times New Roman" w:cs="Times New Roman"/>
          <w:noProof/>
          <w:u w:val="single"/>
        </w:rPr>
      </w:pPr>
      <w:r w:rsidRPr="001170F9">
        <w:rPr>
          <w:rFonts w:ascii="Times New Roman" w:hAnsi="Times New Roman" w:cs="Times New Roman"/>
          <w:noProof/>
          <w:u w:val="single"/>
        </w:rPr>
        <w:t>The Standards:</w:t>
      </w:r>
    </w:p>
    <w:p w14:paraId="3FC9A69D" w14:textId="648953DA" w:rsidR="00A356F0" w:rsidRDefault="00A356F0" w:rsidP="00A356F0">
      <w:pPr>
        <w:pStyle w:val="ListParagraph"/>
        <w:numPr>
          <w:ilvl w:val="0"/>
          <w:numId w:val="14"/>
        </w:numPr>
        <w:rPr>
          <w:rFonts w:ascii="Times New Roman" w:hAnsi="Times New Roman" w:cs="Times New Roman"/>
          <w:noProof/>
        </w:rPr>
      </w:pPr>
      <w:r>
        <w:rPr>
          <w:rFonts w:ascii="Times New Roman" w:hAnsi="Times New Roman" w:cs="Times New Roman"/>
          <w:noProof/>
        </w:rPr>
        <w:t>Limit the non-consensual use and release of private health information, give clients rights.</w:t>
      </w:r>
    </w:p>
    <w:p w14:paraId="7E3D469B" w14:textId="6D30ABC3" w:rsidR="00A356F0" w:rsidRDefault="00A356F0" w:rsidP="00A356F0">
      <w:pPr>
        <w:pStyle w:val="ListParagraph"/>
        <w:numPr>
          <w:ilvl w:val="0"/>
          <w:numId w:val="14"/>
        </w:numPr>
        <w:rPr>
          <w:rFonts w:ascii="Times New Roman" w:hAnsi="Times New Roman" w:cs="Times New Roman"/>
          <w:noProof/>
        </w:rPr>
      </w:pPr>
      <w:r>
        <w:rPr>
          <w:rFonts w:ascii="Times New Roman" w:hAnsi="Times New Roman" w:cs="Times New Roman"/>
          <w:noProof/>
        </w:rPr>
        <w:t>Give clients right to access their medical records and to know who else has accessed them.</w:t>
      </w:r>
    </w:p>
    <w:p w14:paraId="78FAB639" w14:textId="33F18D3C" w:rsidR="00A356F0" w:rsidRDefault="00A356F0" w:rsidP="00A356F0">
      <w:pPr>
        <w:pStyle w:val="ListParagraph"/>
        <w:numPr>
          <w:ilvl w:val="0"/>
          <w:numId w:val="14"/>
        </w:numPr>
        <w:rPr>
          <w:rFonts w:ascii="Times New Roman" w:hAnsi="Times New Roman" w:cs="Times New Roman"/>
          <w:noProof/>
        </w:rPr>
      </w:pPr>
      <w:r>
        <w:rPr>
          <w:rFonts w:ascii="Times New Roman" w:hAnsi="Times New Roman" w:cs="Times New Roman"/>
          <w:noProof/>
        </w:rPr>
        <w:t xml:space="preserve">Restrict most disclosure of health information to the minimum needed for the intended purpose. </w:t>
      </w:r>
    </w:p>
    <w:p w14:paraId="00773220" w14:textId="5D489613" w:rsidR="00A356F0" w:rsidRDefault="00A356F0" w:rsidP="00A356F0">
      <w:pPr>
        <w:pStyle w:val="ListParagraph"/>
        <w:numPr>
          <w:ilvl w:val="0"/>
          <w:numId w:val="14"/>
        </w:numPr>
        <w:rPr>
          <w:rFonts w:ascii="Times New Roman" w:hAnsi="Times New Roman" w:cs="Times New Roman"/>
          <w:noProof/>
        </w:rPr>
      </w:pPr>
      <w:r>
        <w:rPr>
          <w:rFonts w:ascii="Times New Roman" w:hAnsi="Times New Roman" w:cs="Times New Roman"/>
          <w:noProof/>
        </w:rPr>
        <w:t>Establish new criminal and civil sanctions for improper use or disclosure.</w:t>
      </w:r>
    </w:p>
    <w:p w14:paraId="061E1701" w14:textId="62E5440F" w:rsidR="00A356F0" w:rsidRDefault="00A356F0" w:rsidP="00A356F0">
      <w:pPr>
        <w:pStyle w:val="ListParagraph"/>
        <w:numPr>
          <w:ilvl w:val="0"/>
          <w:numId w:val="14"/>
        </w:numPr>
        <w:rPr>
          <w:rFonts w:ascii="Times New Roman" w:hAnsi="Times New Roman" w:cs="Times New Roman"/>
          <w:noProof/>
        </w:rPr>
      </w:pPr>
      <w:r>
        <w:rPr>
          <w:rFonts w:ascii="Times New Roman" w:hAnsi="Times New Roman" w:cs="Times New Roman"/>
          <w:noProof/>
        </w:rPr>
        <w:t>Establish new requirements for access to records by researchers and others.</w:t>
      </w:r>
    </w:p>
    <w:p w14:paraId="5788279E" w14:textId="77777777" w:rsidR="00A356F0" w:rsidRDefault="00A356F0" w:rsidP="00A356F0">
      <w:pPr>
        <w:rPr>
          <w:rFonts w:ascii="Times New Roman" w:hAnsi="Times New Roman" w:cs="Times New Roman"/>
          <w:noProof/>
        </w:rPr>
      </w:pPr>
    </w:p>
    <w:p w14:paraId="69815556" w14:textId="5E600B01" w:rsidR="00A356F0" w:rsidRDefault="00A356F0" w:rsidP="00A356F0">
      <w:pPr>
        <w:ind w:left="1080"/>
        <w:rPr>
          <w:rFonts w:ascii="Times New Roman" w:hAnsi="Times New Roman" w:cs="Times New Roman"/>
          <w:noProof/>
        </w:rPr>
      </w:pPr>
      <w:r>
        <w:rPr>
          <w:rFonts w:ascii="Times New Roman" w:hAnsi="Times New Roman" w:cs="Times New Roman"/>
          <w:noProof/>
        </w:rPr>
        <w:t xml:space="preserve">In accordance with the Regulation, a Privacy and Security Offer is appointed, responsible for developing and implementing the polices and procedures for Landrum Chiropractic. </w:t>
      </w:r>
    </w:p>
    <w:p w14:paraId="4D60C84C" w14:textId="77777777" w:rsidR="00A356F0" w:rsidRDefault="00A356F0" w:rsidP="00A356F0">
      <w:pPr>
        <w:rPr>
          <w:rFonts w:ascii="Times New Roman" w:hAnsi="Times New Roman" w:cs="Times New Roman"/>
          <w:noProof/>
        </w:rPr>
      </w:pPr>
    </w:p>
    <w:p w14:paraId="7AA1C74C" w14:textId="3C261549" w:rsidR="00A356F0" w:rsidRDefault="00A356F0" w:rsidP="00A356F0">
      <w:pPr>
        <w:pStyle w:val="ListParagraph"/>
        <w:numPr>
          <w:ilvl w:val="0"/>
          <w:numId w:val="1"/>
        </w:numPr>
        <w:rPr>
          <w:rFonts w:ascii="Times New Roman" w:hAnsi="Times New Roman" w:cs="Times New Roman"/>
          <w:noProof/>
        </w:rPr>
      </w:pPr>
      <w:r>
        <w:rPr>
          <w:rFonts w:ascii="Times New Roman" w:hAnsi="Times New Roman" w:cs="Times New Roman"/>
          <w:noProof/>
          <w:u w:val="single"/>
        </w:rPr>
        <w:t xml:space="preserve">PRIVACY IMPLEMENTATION: </w:t>
      </w:r>
      <w:r>
        <w:rPr>
          <w:rFonts w:ascii="Times New Roman" w:hAnsi="Times New Roman" w:cs="Times New Roman"/>
          <w:noProof/>
        </w:rPr>
        <w:t xml:space="preserve">The following sections from the Health Insurance Portability and Accountability Act (HIPAA) of 1996 and Landrum Chiropractic’s Policy and Procedures outline the policies that must be documented to be compliant with HIPAA </w:t>
      </w:r>
      <w:r w:rsidR="00D018E0">
        <w:rPr>
          <w:rFonts w:ascii="Times New Roman" w:hAnsi="Times New Roman" w:cs="Times New Roman"/>
          <w:noProof/>
        </w:rPr>
        <w:t xml:space="preserve">Privacy Regulations. </w:t>
      </w:r>
    </w:p>
    <w:p w14:paraId="7ABB55C4" w14:textId="77777777" w:rsidR="00D018E0" w:rsidRDefault="00D018E0" w:rsidP="00D018E0">
      <w:pPr>
        <w:rPr>
          <w:rFonts w:ascii="Times New Roman" w:hAnsi="Times New Roman" w:cs="Times New Roman"/>
          <w:noProof/>
        </w:rPr>
      </w:pPr>
    </w:p>
    <w:p w14:paraId="5D818B14" w14:textId="44EA0C0B" w:rsidR="00807599" w:rsidRPr="00807599" w:rsidRDefault="00D018E0" w:rsidP="00807599">
      <w:pPr>
        <w:pStyle w:val="ListParagraph"/>
        <w:numPr>
          <w:ilvl w:val="0"/>
          <w:numId w:val="15"/>
        </w:numPr>
        <w:rPr>
          <w:rFonts w:ascii="Times New Roman" w:hAnsi="Times New Roman" w:cs="Times New Roman"/>
          <w:noProof/>
        </w:rPr>
      </w:pPr>
      <w:r>
        <w:rPr>
          <w:rFonts w:ascii="Times New Roman" w:hAnsi="Times New Roman" w:cs="Times New Roman"/>
          <w:noProof/>
          <w:u w:val="single"/>
        </w:rPr>
        <w:t xml:space="preserve">NOTICE OF PRIVACY PRACTICES FOR CONFIDENTIAL INFORMATION. </w:t>
      </w:r>
      <w:r>
        <w:rPr>
          <w:rFonts w:ascii="Times New Roman" w:hAnsi="Times New Roman" w:cs="Times New Roman"/>
          <w:noProof/>
        </w:rPr>
        <w:br/>
        <w:t xml:space="preserve">A copy of the Privacy Notice will be posted in a prominent place at the intake of each service delivery site and will be posted on the Web Site. A copy of the Privacy Notice will be given to all new clients on admission and once annually. Receipt </w:t>
      </w:r>
      <w:r w:rsidR="002F2C2C">
        <w:rPr>
          <w:rFonts w:ascii="Times New Roman" w:hAnsi="Times New Roman" w:cs="Times New Roman"/>
          <w:noProof/>
        </w:rPr>
        <w:t>of the Privacy Notice will be signed by the client and witnessed by a staff member on the Permission for Treatment (PC-237). A copy of the Privacy Notice is in the Landrum Chiropractic HIPAA Handbook maintained in the Coordinator of Quality Management office.</w:t>
      </w:r>
      <w:r w:rsidR="00807599">
        <w:rPr>
          <w:rFonts w:ascii="Times New Roman" w:hAnsi="Times New Roman" w:cs="Times New Roman"/>
          <w:noProof/>
        </w:rPr>
        <w:br/>
      </w:r>
    </w:p>
    <w:p w14:paraId="1C4B014E" w14:textId="6916C8A5" w:rsidR="002F2C2C" w:rsidRDefault="002F2C2C" w:rsidP="002F2C2C">
      <w:pPr>
        <w:pStyle w:val="ListParagraph"/>
        <w:numPr>
          <w:ilvl w:val="0"/>
          <w:numId w:val="15"/>
        </w:numPr>
        <w:rPr>
          <w:rFonts w:ascii="Times New Roman" w:hAnsi="Times New Roman" w:cs="Times New Roman"/>
          <w:noProof/>
        </w:rPr>
      </w:pPr>
      <w:r>
        <w:rPr>
          <w:rFonts w:ascii="Times New Roman" w:hAnsi="Times New Roman" w:cs="Times New Roman"/>
          <w:noProof/>
          <w:u w:val="single"/>
        </w:rPr>
        <w:t>CONSENT FOR USES OR DISCLOSURES TO CARRY OUT TREATMENT, PAYMENT, OR HEALTH CARE OPERATIONS.</w:t>
      </w:r>
      <w:r>
        <w:rPr>
          <w:rFonts w:ascii="Times New Roman" w:hAnsi="Times New Roman" w:cs="Times New Roman"/>
          <w:noProof/>
        </w:rPr>
        <w:t xml:space="preserve"> </w:t>
      </w:r>
      <w:r w:rsidR="00821D89">
        <w:rPr>
          <w:rFonts w:ascii="Times New Roman" w:hAnsi="Times New Roman" w:cs="Times New Roman"/>
          <w:noProof/>
        </w:rPr>
        <w:t xml:space="preserve">Landrum Chiropractic </w:t>
      </w:r>
      <w:r>
        <w:rPr>
          <w:rFonts w:ascii="Times New Roman" w:hAnsi="Times New Roman" w:cs="Times New Roman"/>
          <w:noProof/>
        </w:rPr>
        <w:t>will complete a Releases of Information (PC-574) form on each person receiving services, when applicable. The release details the client’s right to revoke in writing a consent at any time unless the action has already been taken. See Release of Information for polices reg</w:t>
      </w:r>
      <w:r w:rsidR="00807599">
        <w:rPr>
          <w:rFonts w:ascii="Times New Roman" w:hAnsi="Times New Roman" w:cs="Times New Roman"/>
          <w:noProof/>
        </w:rPr>
        <w:t>arding releasing information and requests to receive information from other agencies.</w:t>
      </w:r>
      <w:r w:rsidR="00807599">
        <w:rPr>
          <w:rFonts w:ascii="Times New Roman" w:hAnsi="Times New Roman" w:cs="Times New Roman"/>
          <w:noProof/>
        </w:rPr>
        <w:br/>
      </w:r>
    </w:p>
    <w:p w14:paraId="154CCF5A" w14:textId="5FEAE1AA" w:rsidR="000C232A" w:rsidRPr="000C232A" w:rsidRDefault="00807599" w:rsidP="000C232A">
      <w:pPr>
        <w:pStyle w:val="ListParagraph"/>
        <w:numPr>
          <w:ilvl w:val="0"/>
          <w:numId w:val="15"/>
        </w:numPr>
        <w:rPr>
          <w:rFonts w:ascii="Times New Roman" w:hAnsi="Times New Roman" w:cs="Times New Roman"/>
          <w:noProof/>
        </w:rPr>
      </w:pPr>
      <w:r>
        <w:rPr>
          <w:rFonts w:ascii="Times New Roman" w:hAnsi="Times New Roman" w:cs="Times New Roman"/>
          <w:noProof/>
          <w:u w:val="single"/>
        </w:rPr>
        <w:t>MINIMUM NECESSARY PROVISIONS.</w:t>
      </w:r>
      <w:r>
        <w:rPr>
          <w:rFonts w:ascii="Times New Roman" w:hAnsi="Times New Roman" w:cs="Times New Roman"/>
          <w:noProof/>
        </w:rPr>
        <w:t xml:space="preserve"> Landrum Chiropractic will apply the minumum necessary standards to all uses, disclosures, and requests for confidential information. Any request for entire medical records, other than for treatment purposes, must be justified in writing and made a part of the medical record as documentation of that justification. Disclosures of confidential information to the Department of Health and Human Services </w:t>
      </w:r>
      <w:r w:rsidRPr="000C232A">
        <w:rPr>
          <w:rFonts w:ascii="Times New Roman" w:hAnsi="Times New Roman" w:cs="Times New Roman"/>
          <w:noProof/>
        </w:rPr>
        <w:t>(DHHS) for compliance purposes and siclosures that we are required to make in order to</w:t>
      </w:r>
      <w:r w:rsidR="000C232A">
        <w:rPr>
          <w:rFonts w:ascii="Times New Roman" w:hAnsi="Times New Roman" w:cs="Times New Roman"/>
          <w:noProof/>
        </w:rPr>
        <w:t xml:space="preserve"> </w:t>
      </w:r>
      <w:r w:rsidR="000C232A" w:rsidRPr="000C232A">
        <w:rPr>
          <w:rFonts w:ascii="Times New Roman" w:hAnsi="Times New Roman" w:cs="Times New Roman"/>
          <w:color w:val="000000"/>
        </w:rPr>
        <w:t xml:space="preserve">comply with the HIPPA regulations on standard transactions are not subject to the minimum requirements. If staff receives a request for confidential information from a person purporting to be a representative of DHHS or any of its sub agencies, they should contact the management on-site at the time and the Privacy Officer about the request before disclosing </w:t>
      </w:r>
      <w:r w:rsidR="000C232A" w:rsidRPr="000C232A">
        <w:rPr>
          <w:rFonts w:ascii="Times New Roman" w:hAnsi="Times New Roman" w:cs="Times New Roman"/>
          <w:color w:val="000000"/>
        </w:rPr>
        <w:lastRenderedPageBreak/>
        <w:t>any information. If the person representing DHHS presents in person at a site and states they are involved in an investigation, audit or any other type of fact-finding mission, staff should confirm their credentials and inform the Privacy Officer, but should not interfere with the investigation or audit process. More detailed procedures are found in the HIPPS Handbook.</w:t>
      </w:r>
      <w:r w:rsidR="000C232A">
        <w:rPr>
          <w:rFonts w:ascii="Times New Roman" w:hAnsi="Times New Roman" w:cs="Times New Roman"/>
          <w:color w:val="000000"/>
        </w:rPr>
        <w:br/>
      </w:r>
    </w:p>
    <w:p w14:paraId="5621BD20" w14:textId="68D73ECA" w:rsidR="000C232A" w:rsidRPr="000C232A" w:rsidRDefault="000C232A" w:rsidP="000C232A">
      <w:pPr>
        <w:pStyle w:val="ListParagraph"/>
        <w:numPr>
          <w:ilvl w:val="0"/>
          <w:numId w:val="15"/>
        </w:numPr>
        <w:rPr>
          <w:rFonts w:ascii="Times New Roman" w:hAnsi="Times New Roman" w:cs="Times New Roman"/>
          <w:noProof/>
        </w:rPr>
      </w:pPr>
      <w:r w:rsidRPr="000C232A">
        <w:rPr>
          <w:rFonts w:ascii="Times New Roman" w:hAnsi="Times New Roman" w:cs="Times New Roman"/>
          <w:color w:val="000000"/>
          <w:u w:val="single"/>
        </w:rPr>
        <w:t>ACCESS OF INDIVIDUALS TO CONFIDENTIAL INFORMATION.</w:t>
      </w:r>
      <w:r w:rsidRPr="000C232A">
        <w:rPr>
          <w:rFonts w:ascii="Times New Roman" w:hAnsi="Times New Roman" w:cs="Times New Roman"/>
          <w:color w:val="000000"/>
          <w:u w:val="single"/>
        </w:rPr>
        <w:br/>
      </w:r>
      <w:r w:rsidRPr="000C232A">
        <w:rPr>
          <w:rFonts w:ascii="Times New Roman" w:hAnsi="Times New Roman" w:cs="Times New Roman"/>
          <w:color w:val="000000"/>
        </w:rPr>
        <w:t>The Health Insurance Portability and Accountability Act (HIPPA) of 1996 Sections 1164.522 and 164.524 allow individuals the right of access to inspect and obtain a copy of their confidential information, for as long as Landrum Chiropractic maintains the information. This is documented in Release of Clinical Information to Clients and Fee Policy for Duplicating Client Records, a copy of which is in the HIPPA Handbook.</w:t>
      </w:r>
      <w:r w:rsidRPr="000C232A">
        <w:rPr>
          <w:rFonts w:ascii="Times New Roman" w:hAnsi="Times New Roman" w:cs="Times New Roman"/>
          <w:color w:val="000000"/>
        </w:rPr>
        <w:br/>
      </w:r>
    </w:p>
    <w:p w14:paraId="16BD08BE" w14:textId="77777777" w:rsidR="000C232A" w:rsidRPr="000C232A" w:rsidRDefault="000C232A" w:rsidP="000C232A">
      <w:pPr>
        <w:pStyle w:val="ListParagraph"/>
        <w:numPr>
          <w:ilvl w:val="0"/>
          <w:numId w:val="15"/>
        </w:numPr>
        <w:rPr>
          <w:rFonts w:ascii="Times New Roman" w:hAnsi="Times New Roman" w:cs="Times New Roman"/>
          <w:noProof/>
        </w:rPr>
      </w:pPr>
      <w:r w:rsidRPr="000C232A">
        <w:rPr>
          <w:rFonts w:ascii="Times New Roman" w:hAnsi="Times New Roman" w:cs="Times New Roman"/>
          <w:color w:val="000000"/>
        </w:rPr>
        <w:t> </w:t>
      </w:r>
      <w:r w:rsidRPr="000C232A">
        <w:rPr>
          <w:rFonts w:ascii="Times New Roman" w:hAnsi="Times New Roman" w:cs="Times New Roman"/>
          <w:color w:val="000000"/>
          <w:u w:val="single"/>
        </w:rPr>
        <w:t xml:space="preserve">BUSINESS ASSOCIATES. </w:t>
      </w:r>
      <w:r w:rsidRPr="000C232A">
        <w:rPr>
          <w:rFonts w:ascii="Times New Roman" w:hAnsi="Times New Roman" w:cs="Times New Roman"/>
          <w:color w:val="000000"/>
        </w:rPr>
        <w:t> A Business Associate Agreement will be signed with any vendor or independent contractor who proposes to do business with Landrum Chiropractic. Any entity who performs a function or activity on behalf of Landrum Chiropractic that involves the use or disclosure of Confidential Information or who provides any legal, actuarial, accounting, consulting, data aggregation or management, administrative, accreditation, or financial services, and who is not involved in the treatment of a client, must sign a Business Associate Agreement with Landrum Chiropractic. A copy of this Agreement is in the HIPPA Handbook.</w:t>
      </w:r>
      <w:r w:rsidRPr="000C232A">
        <w:rPr>
          <w:rFonts w:ascii="Times New Roman" w:hAnsi="Times New Roman" w:cs="Times New Roman"/>
          <w:color w:val="000000"/>
        </w:rPr>
        <w:br/>
      </w:r>
    </w:p>
    <w:p w14:paraId="78CC9AA1" w14:textId="5C550234" w:rsidR="000C232A" w:rsidRPr="000C232A" w:rsidRDefault="000C232A" w:rsidP="000C232A">
      <w:pPr>
        <w:pStyle w:val="ListParagraph"/>
        <w:numPr>
          <w:ilvl w:val="0"/>
          <w:numId w:val="15"/>
        </w:numPr>
        <w:rPr>
          <w:rFonts w:ascii="Times New Roman" w:hAnsi="Times New Roman" w:cs="Times New Roman"/>
          <w:noProof/>
        </w:rPr>
      </w:pPr>
      <w:r w:rsidRPr="000C232A">
        <w:rPr>
          <w:rFonts w:ascii="Times New Roman" w:hAnsi="Times New Roman" w:cs="Times New Roman"/>
          <w:color w:val="000000"/>
          <w:u w:val="single"/>
        </w:rPr>
        <w:t>AMENDMENT OF ONFIDENTIAL INFORMATION.</w:t>
      </w:r>
      <w:r w:rsidRPr="000C232A">
        <w:rPr>
          <w:rFonts w:ascii="Times New Roman" w:hAnsi="Times New Roman" w:cs="Times New Roman"/>
          <w:color w:val="000000"/>
        </w:rPr>
        <w:t xml:space="preserve"> Section 164.526 gives an individual the right to amend confidential information about that individual for as long as the information is maintained. Instructions for amending confidential information are in the Notice of Privacy Practices.</w:t>
      </w:r>
      <w:r w:rsidRPr="000C232A">
        <w:rPr>
          <w:rFonts w:ascii="Times New Roman" w:hAnsi="Times New Roman" w:cs="Times New Roman"/>
          <w:color w:val="000000"/>
        </w:rPr>
        <w:br/>
      </w:r>
    </w:p>
    <w:p w14:paraId="4995BA4F" w14:textId="10194790" w:rsidR="000C232A" w:rsidRPr="000C232A" w:rsidRDefault="000C232A" w:rsidP="000C232A">
      <w:pPr>
        <w:pStyle w:val="ListParagraph"/>
        <w:numPr>
          <w:ilvl w:val="0"/>
          <w:numId w:val="15"/>
        </w:numPr>
        <w:rPr>
          <w:rFonts w:ascii="Times New Roman" w:hAnsi="Times New Roman" w:cs="Times New Roman"/>
          <w:noProof/>
        </w:rPr>
      </w:pPr>
      <w:r w:rsidRPr="000C232A">
        <w:rPr>
          <w:rFonts w:ascii="Times New Roman" w:hAnsi="Times New Roman" w:cs="Times New Roman"/>
          <w:color w:val="000000"/>
          <w:u w:val="single"/>
        </w:rPr>
        <w:t>ACCOUNTING FOR DISCLOSURES.</w:t>
      </w:r>
      <w:r w:rsidRPr="000C232A">
        <w:rPr>
          <w:rFonts w:ascii="Times New Roman" w:hAnsi="Times New Roman" w:cs="Times New Roman"/>
          <w:color w:val="000000"/>
        </w:rPr>
        <w:t xml:space="preserve"> Section 164.528 provides a right for individuals to receive an accounting of all disclosures of confidential information. Disclosure information must be made available for six (6) years from the date of service. A record of disclosures does not have to be made when the disclosures are to carry out treatment, payment and health care operations, when made to individuals with confidential information about them, to persons involved in the individual’s care, for national security or intelligence purposes, or to correctional institutions or law enforcement officials.</w:t>
      </w:r>
      <w:r w:rsidRPr="000C232A">
        <w:rPr>
          <w:rFonts w:ascii="Times New Roman" w:hAnsi="Times New Roman" w:cs="Times New Roman"/>
          <w:color w:val="000000"/>
        </w:rPr>
        <w:br/>
      </w:r>
    </w:p>
    <w:p w14:paraId="0996F655" w14:textId="11140F25" w:rsidR="000C232A" w:rsidRPr="000C232A" w:rsidRDefault="000C232A" w:rsidP="000C232A">
      <w:pPr>
        <w:pStyle w:val="ListParagraph"/>
        <w:numPr>
          <w:ilvl w:val="0"/>
          <w:numId w:val="15"/>
        </w:numPr>
        <w:rPr>
          <w:rFonts w:ascii="Times New Roman" w:hAnsi="Times New Roman" w:cs="Times New Roman"/>
          <w:noProof/>
        </w:rPr>
      </w:pPr>
      <w:r w:rsidRPr="000C232A">
        <w:rPr>
          <w:rFonts w:ascii="Times New Roman" w:hAnsi="Times New Roman" w:cs="Times New Roman"/>
          <w:color w:val="000000"/>
          <w:u w:val="single"/>
        </w:rPr>
        <w:t>NOTIFICATION IN THE CASE OF BREACH OF UNSECURED PHI.</w:t>
      </w:r>
      <w:r w:rsidRPr="000C232A">
        <w:rPr>
          <w:rFonts w:ascii="Times New Roman" w:hAnsi="Times New Roman" w:cs="Times New Roman"/>
          <w:color w:val="000000"/>
        </w:rPr>
        <w:t xml:space="preserve"> Section 164.404 requires a covered entity to notify each individual whose unsecured protected health information has been, or is reasonably believed by the covered entity to have been, accessed, acquired, used, or disclosed as a result of such breach. Landrum Chiropractic will notify the individual without unreasonable delay and in no case later than 60 calendar days after the discovery of the breach. Landrum Chiropractic, as required, will notify the prominent media outlets in the surrounding areas and the Secretary for breaches that involve more than 500 individuals. For breaches involving less than 500 individuals, Landrum chiropractic will notify the U.S. Department of Health and Human Services (HHS) annually as specified on the HHS website.</w:t>
      </w:r>
    </w:p>
    <w:p w14:paraId="7F74C19D" w14:textId="4F172775" w:rsidR="000C232A" w:rsidRPr="000C232A" w:rsidRDefault="000C232A" w:rsidP="000C232A">
      <w:pPr>
        <w:pStyle w:val="NormalWeb"/>
        <w:spacing w:before="240" w:beforeAutospacing="0" w:after="240" w:afterAutospacing="0"/>
        <w:ind w:left="720"/>
        <w:rPr>
          <w:color w:val="000000"/>
          <w:sz w:val="22"/>
          <w:szCs w:val="22"/>
        </w:rPr>
      </w:pPr>
      <w:r>
        <w:rPr>
          <w:color w:val="000000"/>
          <w:sz w:val="22"/>
          <w:szCs w:val="22"/>
        </w:rPr>
        <w:t>If it is unclear as to whether or not a breach has occurred, a risk assessment will be completed</w:t>
      </w:r>
      <w:r>
        <w:rPr>
          <w:color w:val="000000"/>
          <w:sz w:val="22"/>
          <w:szCs w:val="22"/>
        </w:rPr>
        <w:br/>
        <w:t>based on the following factors:</w:t>
      </w:r>
    </w:p>
    <w:p w14:paraId="3D34A0B7" w14:textId="77777777" w:rsidR="000C232A" w:rsidRDefault="000C232A" w:rsidP="000C232A">
      <w:pPr>
        <w:pStyle w:val="NormalWeb"/>
        <w:spacing w:before="240" w:beforeAutospacing="0" w:after="240" w:afterAutospacing="0"/>
        <w:ind w:left="1080"/>
      </w:pPr>
      <w:r>
        <w:rPr>
          <w:color w:val="000000"/>
          <w:sz w:val="22"/>
          <w:szCs w:val="22"/>
        </w:rPr>
        <w:lastRenderedPageBreak/>
        <w:t>1.</w:t>
      </w:r>
      <w:r>
        <w:rPr>
          <w:color w:val="000000"/>
          <w:sz w:val="14"/>
          <w:szCs w:val="14"/>
        </w:rPr>
        <w:t xml:space="preserve">      </w:t>
      </w:r>
      <w:r>
        <w:rPr>
          <w:color w:val="000000"/>
          <w:sz w:val="22"/>
          <w:szCs w:val="22"/>
        </w:rPr>
        <w:t>The nature and extent of the protected health information involved, including the types of identifiers and the likelihood of re-identification;</w:t>
      </w:r>
    </w:p>
    <w:p w14:paraId="27066FEA" w14:textId="77777777" w:rsidR="000C232A" w:rsidRDefault="000C232A" w:rsidP="000C232A">
      <w:pPr>
        <w:pStyle w:val="NormalWeb"/>
        <w:spacing w:before="240" w:beforeAutospacing="0" w:after="240" w:afterAutospacing="0"/>
        <w:ind w:left="1080"/>
      </w:pPr>
      <w:r>
        <w:rPr>
          <w:color w:val="000000"/>
          <w:sz w:val="22"/>
          <w:szCs w:val="22"/>
        </w:rPr>
        <w:t>2.</w:t>
      </w:r>
      <w:r>
        <w:rPr>
          <w:color w:val="000000"/>
          <w:sz w:val="14"/>
          <w:szCs w:val="14"/>
        </w:rPr>
        <w:t xml:space="preserve">      </w:t>
      </w:r>
      <w:r>
        <w:rPr>
          <w:color w:val="000000"/>
          <w:sz w:val="22"/>
          <w:szCs w:val="22"/>
        </w:rPr>
        <w:t>The unauthorized person who used the protected health information or to whom the disclosure was made;</w:t>
      </w:r>
    </w:p>
    <w:p w14:paraId="3D0018E8" w14:textId="77777777" w:rsidR="000C232A" w:rsidRDefault="000C232A" w:rsidP="000C232A">
      <w:pPr>
        <w:pStyle w:val="NormalWeb"/>
        <w:spacing w:before="240" w:beforeAutospacing="0" w:after="240" w:afterAutospacing="0"/>
        <w:ind w:left="1080"/>
      </w:pPr>
      <w:r>
        <w:rPr>
          <w:color w:val="000000"/>
          <w:sz w:val="22"/>
          <w:szCs w:val="22"/>
        </w:rPr>
        <w:t>3.</w:t>
      </w:r>
      <w:r>
        <w:rPr>
          <w:color w:val="000000"/>
          <w:sz w:val="14"/>
          <w:szCs w:val="14"/>
        </w:rPr>
        <w:t xml:space="preserve">      </w:t>
      </w:r>
      <w:r>
        <w:rPr>
          <w:color w:val="000000"/>
          <w:sz w:val="22"/>
          <w:szCs w:val="22"/>
        </w:rPr>
        <w:t>Whether the protected health information was actually acquired or viewed; and</w:t>
      </w:r>
    </w:p>
    <w:p w14:paraId="47C85F43" w14:textId="77777777" w:rsidR="000C232A" w:rsidRDefault="000C232A" w:rsidP="000C232A">
      <w:pPr>
        <w:pStyle w:val="NormalWeb"/>
        <w:spacing w:before="240" w:beforeAutospacing="0" w:after="240" w:afterAutospacing="0"/>
        <w:ind w:left="1080"/>
      </w:pPr>
      <w:r>
        <w:rPr>
          <w:color w:val="000000"/>
          <w:sz w:val="22"/>
          <w:szCs w:val="22"/>
        </w:rPr>
        <w:t>4.</w:t>
      </w:r>
      <w:r>
        <w:rPr>
          <w:color w:val="000000"/>
          <w:sz w:val="14"/>
          <w:szCs w:val="14"/>
        </w:rPr>
        <w:t xml:space="preserve">      </w:t>
      </w:r>
      <w:r>
        <w:rPr>
          <w:color w:val="000000"/>
          <w:sz w:val="22"/>
          <w:szCs w:val="22"/>
        </w:rPr>
        <w:t>The extent to which the risk to the protected health information has been mitigated.</w:t>
      </w:r>
    </w:p>
    <w:p w14:paraId="6CFB6527" w14:textId="77777777" w:rsidR="000C232A" w:rsidRDefault="000C232A" w:rsidP="000C232A">
      <w:pPr>
        <w:pStyle w:val="NormalWeb"/>
        <w:spacing w:before="240" w:beforeAutospacing="0" w:after="240" w:afterAutospacing="0"/>
        <w:ind w:left="720"/>
      </w:pPr>
      <w:r>
        <w:rPr>
          <w:color w:val="000000"/>
          <w:sz w:val="22"/>
          <w:szCs w:val="22"/>
        </w:rPr>
        <w:t>If a risk assessment is completed and a possible determination of a HIPPA breach is being considered, the Corporate Compliance Officer will be consulted.</w:t>
      </w:r>
    </w:p>
    <w:p w14:paraId="036484E1" w14:textId="22BF798E" w:rsidR="000C232A" w:rsidRPr="000C232A" w:rsidRDefault="000C232A" w:rsidP="000C232A">
      <w:pPr>
        <w:pStyle w:val="NormalWeb"/>
        <w:numPr>
          <w:ilvl w:val="0"/>
          <w:numId w:val="1"/>
        </w:numPr>
        <w:spacing w:before="240" w:beforeAutospacing="0" w:after="240" w:afterAutospacing="0"/>
      </w:pPr>
      <w:r>
        <w:rPr>
          <w:color w:val="000000"/>
          <w:sz w:val="22"/>
          <w:szCs w:val="22"/>
          <w:u w:val="single"/>
        </w:rPr>
        <w:t xml:space="preserve">COMPLAINTS TO LANDRUM CHIROPRACTIC. </w:t>
      </w:r>
      <w:r>
        <w:rPr>
          <w:color w:val="000000"/>
          <w:sz w:val="22"/>
          <w:szCs w:val="22"/>
        </w:rPr>
        <w:t>Section 164.530 (d) requires a procedure to document all complaints received and their disposition, if any, and will work to mitigate any problems known to Landrum Chiropractic. Any complaint regarding a breach of confidentiality or a security risk should be referred immediately to the Privacy Officer, who will make every effort to mitigate the situation. In accordance with Section 164.530(g), the Privacy Officer will not intimidate, threaten, coerce, discriminate against, or take other retaliatory action against complaining individuals. In accordance with Section 164.530(h), Landrum Chiropractic will not require individuals to waive their rights to this procedure as a condition to provide treatment. </w:t>
      </w:r>
    </w:p>
    <w:p w14:paraId="40100D01" w14:textId="47C4FA83" w:rsidR="000C232A" w:rsidRDefault="000C232A" w:rsidP="000C232A">
      <w:pPr>
        <w:pStyle w:val="NormalWeb"/>
        <w:numPr>
          <w:ilvl w:val="0"/>
          <w:numId w:val="1"/>
        </w:numPr>
        <w:spacing w:before="240" w:beforeAutospacing="0" w:after="240" w:afterAutospacing="0"/>
      </w:pPr>
      <w:r>
        <w:rPr>
          <w:color w:val="000000"/>
          <w:sz w:val="22"/>
          <w:szCs w:val="22"/>
          <w:u w:val="single"/>
        </w:rPr>
        <w:t>SECURITY IMPLEMENTATION.</w:t>
      </w:r>
      <w:r>
        <w:t xml:space="preserve"> Landrum Chiropractic will use appropriate administrative, technical, and physical safeguards to protect the privacy of confidential information. Landrum Chiropractic will “reasonably” safeguard confidential information </w:t>
      </w:r>
      <w:r w:rsidR="00FE73F3">
        <w:t>from any intentional or unintentional use or disclosure. Administrative, technical, and physical safeguards, access control, disaster recovery, maintenance records, and audit procedures are documented in Computer Policies and Procedures, Computer and Information usage Agreement (PMHC-375), and Landrum Chiropractic technology and System Plan.</w:t>
      </w:r>
    </w:p>
    <w:p w14:paraId="13FECB4B" w14:textId="30ED62B2" w:rsidR="00FE73F3" w:rsidRDefault="00FE73F3" w:rsidP="000C232A">
      <w:pPr>
        <w:pStyle w:val="NormalWeb"/>
        <w:numPr>
          <w:ilvl w:val="0"/>
          <w:numId w:val="1"/>
        </w:numPr>
        <w:spacing w:before="240" w:beforeAutospacing="0" w:after="240" w:afterAutospacing="0"/>
      </w:pPr>
      <w:r>
        <w:rPr>
          <w:color w:val="000000"/>
          <w:sz w:val="22"/>
          <w:szCs w:val="22"/>
          <w:u w:val="single"/>
        </w:rPr>
        <w:t>TRAINING.</w:t>
      </w:r>
      <w:r>
        <w:t xml:space="preserve"> Section 164.530(b) requires a healthcare entity to train all members of its workforce on HIPAA policies and procedures. </w:t>
      </w:r>
      <w:r w:rsidR="00260AA0">
        <w:t>Training</w:t>
      </w:r>
      <w:r>
        <w:t xml:space="preserve"> will be done for current employees at the time of compliance, April 2003, and thereafter, for all new members of the workforce during new </w:t>
      </w:r>
      <w:r w:rsidR="00260AA0">
        <w:t>employee</w:t>
      </w:r>
      <w:r>
        <w:t xml:space="preserve"> orientation. Staff members will also complete </w:t>
      </w:r>
      <w:r w:rsidR="00260AA0">
        <w:t xml:space="preserve">training on a reoccurring basis utilizing E-Learning. </w:t>
      </w:r>
    </w:p>
    <w:p w14:paraId="7967D17F" w14:textId="390037ED" w:rsidR="000C232A" w:rsidRDefault="000C232A" w:rsidP="000C232A">
      <w:pPr>
        <w:rPr>
          <w:rFonts w:ascii="Times New Roman" w:hAnsi="Times New Roman" w:cs="Times New Roman"/>
        </w:rPr>
      </w:pPr>
      <w:r>
        <w:rPr>
          <w:rFonts w:ascii="Times New Roman" w:hAnsi="Times New Roman" w:cs="Times New Roman"/>
        </w:rPr>
        <w:tab/>
      </w:r>
    </w:p>
    <w:p w14:paraId="5F7DB3F3" w14:textId="77777777" w:rsidR="000C232A" w:rsidRDefault="000C232A" w:rsidP="000C232A">
      <w:pPr>
        <w:rPr>
          <w:rFonts w:ascii="Times New Roman" w:hAnsi="Times New Roman" w:cs="Times New Roman"/>
        </w:rPr>
      </w:pPr>
    </w:p>
    <w:p w14:paraId="250EF436" w14:textId="77777777" w:rsidR="000C232A" w:rsidRPr="000C232A" w:rsidRDefault="000C232A" w:rsidP="000C232A">
      <w:pPr>
        <w:ind w:left="720"/>
        <w:rPr>
          <w:rFonts w:ascii="Times New Roman" w:hAnsi="Times New Roman" w:cs="Times New Roman"/>
          <w:noProof/>
        </w:rPr>
      </w:pPr>
    </w:p>
    <w:sectPr w:rsidR="000C232A" w:rsidRPr="000C2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A30"/>
    <w:multiLevelType w:val="hybridMultilevel"/>
    <w:tmpl w:val="9BD0FB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463962"/>
    <w:multiLevelType w:val="hybridMultilevel"/>
    <w:tmpl w:val="46F201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1215E"/>
    <w:multiLevelType w:val="hybridMultilevel"/>
    <w:tmpl w:val="7DDC0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7858EC"/>
    <w:multiLevelType w:val="hybridMultilevel"/>
    <w:tmpl w:val="2FB2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528"/>
    <w:multiLevelType w:val="hybridMultilevel"/>
    <w:tmpl w:val="CA5484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F21D9"/>
    <w:multiLevelType w:val="hybridMultilevel"/>
    <w:tmpl w:val="8D6AAD1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4820F75"/>
    <w:multiLevelType w:val="hybridMultilevel"/>
    <w:tmpl w:val="3FD2E5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F14F8D"/>
    <w:multiLevelType w:val="hybridMultilevel"/>
    <w:tmpl w:val="2DE2860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23C28BF"/>
    <w:multiLevelType w:val="hybridMultilevel"/>
    <w:tmpl w:val="A63E0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7121B1"/>
    <w:multiLevelType w:val="hybridMultilevel"/>
    <w:tmpl w:val="7578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00CAD"/>
    <w:multiLevelType w:val="hybridMultilevel"/>
    <w:tmpl w:val="017EB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310EE"/>
    <w:multiLevelType w:val="hybridMultilevel"/>
    <w:tmpl w:val="563827F8"/>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96174F0"/>
    <w:multiLevelType w:val="hybridMultilevel"/>
    <w:tmpl w:val="BC78C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5CB41C2"/>
    <w:multiLevelType w:val="hybridMultilevel"/>
    <w:tmpl w:val="FC9C86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D80A37"/>
    <w:multiLevelType w:val="hybridMultilevel"/>
    <w:tmpl w:val="8FA405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4600976">
    <w:abstractNumId w:val="14"/>
  </w:num>
  <w:num w:numId="2" w16cid:durableId="233971200">
    <w:abstractNumId w:val="5"/>
  </w:num>
  <w:num w:numId="3" w16cid:durableId="697849588">
    <w:abstractNumId w:val="0"/>
  </w:num>
  <w:num w:numId="4" w16cid:durableId="416513435">
    <w:abstractNumId w:val="13"/>
  </w:num>
  <w:num w:numId="5" w16cid:durableId="1614746625">
    <w:abstractNumId w:val="2"/>
  </w:num>
  <w:num w:numId="6" w16cid:durableId="982782551">
    <w:abstractNumId w:val="6"/>
  </w:num>
  <w:num w:numId="7" w16cid:durableId="514609605">
    <w:abstractNumId w:val="11"/>
  </w:num>
  <w:num w:numId="8" w16cid:durableId="1427532248">
    <w:abstractNumId w:val="10"/>
  </w:num>
  <w:num w:numId="9" w16cid:durableId="1044673264">
    <w:abstractNumId w:val="7"/>
  </w:num>
  <w:num w:numId="10" w16cid:durableId="1351099774">
    <w:abstractNumId w:val="1"/>
  </w:num>
  <w:num w:numId="11" w16cid:durableId="2055886678">
    <w:abstractNumId w:val="9"/>
  </w:num>
  <w:num w:numId="12" w16cid:durableId="1974368077">
    <w:abstractNumId w:val="3"/>
  </w:num>
  <w:num w:numId="13" w16cid:durableId="666402443">
    <w:abstractNumId w:val="12"/>
  </w:num>
  <w:num w:numId="14" w16cid:durableId="716248410">
    <w:abstractNumId w:val="8"/>
  </w:num>
  <w:num w:numId="15" w16cid:durableId="2091927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E8"/>
    <w:rsid w:val="000C232A"/>
    <w:rsid w:val="001170F9"/>
    <w:rsid w:val="00154ECF"/>
    <w:rsid w:val="00260AA0"/>
    <w:rsid w:val="002F2C2C"/>
    <w:rsid w:val="007E2020"/>
    <w:rsid w:val="00807599"/>
    <w:rsid w:val="00821D89"/>
    <w:rsid w:val="00A356F0"/>
    <w:rsid w:val="00BC3F6B"/>
    <w:rsid w:val="00CE20A1"/>
    <w:rsid w:val="00D018E0"/>
    <w:rsid w:val="00D33CE8"/>
    <w:rsid w:val="00FE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618F"/>
  <w15:chartTrackingRefBased/>
  <w15:docId w15:val="{D77DB8C0-5341-47B3-BF96-4C88557D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CE8"/>
    <w:pPr>
      <w:ind w:left="720"/>
      <w:contextualSpacing/>
    </w:pPr>
  </w:style>
  <w:style w:type="paragraph" w:styleId="NormalWeb">
    <w:name w:val="Normal (Web)"/>
    <w:basedOn w:val="Normal"/>
    <w:uiPriority w:val="99"/>
    <w:semiHidden/>
    <w:unhideWhenUsed/>
    <w:rsid w:val="000C232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0C2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0D6C-579D-4C33-AC44-675297B7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2023-04-27T22:12:00Z</cp:lastPrinted>
  <dcterms:created xsi:type="dcterms:W3CDTF">2023-04-27T19:36:00Z</dcterms:created>
  <dcterms:modified xsi:type="dcterms:W3CDTF">2023-05-01T15:08:00Z</dcterms:modified>
</cp:coreProperties>
</file>